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D107" w14:textId="77777777" w:rsidR="00E272DB" w:rsidRDefault="00E272DB" w:rsidP="00C77EE6">
      <w:pPr>
        <w:widowControl w:val="0"/>
        <w:autoSpaceDE w:val="0"/>
        <w:autoSpaceDN w:val="0"/>
        <w:adjustRightInd w:val="0"/>
        <w:spacing w:line="480" w:lineRule="auto"/>
        <w:ind w:firstLine="720"/>
        <w:rPr>
          <w:rFonts w:cs="Arial"/>
          <w:color w:val="000000" w:themeColor="text1"/>
          <w:sz w:val="28"/>
          <w:szCs w:val="28"/>
        </w:rPr>
      </w:pPr>
    </w:p>
    <w:p w14:paraId="0A729436" w14:textId="132592E2" w:rsidR="00C31DEB" w:rsidRPr="00AC25FC" w:rsidRDefault="00C31DEB" w:rsidP="00C77EE6">
      <w:pPr>
        <w:widowControl w:val="0"/>
        <w:autoSpaceDE w:val="0"/>
        <w:autoSpaceDN w:val="0"/>
        <w:adjustRightInd w:val="0"/>
        <w:spacing w:line="480" w:lineRule="auto"/>
        <w:ind w:firstLine="720"/>
        <w:rPr>
          <w:rFonts w:cs="Arial"/>
          <w:color w:val="000000" w:themeColor="text1"/>
          <w:sz w:val="28"/>
          <w:szCs w:val="28"/>
        </w:rPr>
      </w:pPr>
      <w:r w:rsidRPr="00AC25FC">
        <w:rPr>
          <w:rFonts w:cs="Arial"/>
          <w:color w:val="000000" w:themeColor="text1"/>
          <w:sz w:val="28"/>
          <w:szCs w:val="28"/>
        </w:rPr>
        <w:t>A</w:t>
      </w:r>
      <w:r w:rsidR="00C77EE6">
        <w:rPr>
          <w:rFonts w:cs="Arial"/>
          <w:color w:val="000000" w:themeColor="text1"/>
          <w:sz w:val="28"/>
          <w:szCs w:val="28"/>
        </w:rPr>
        <w:t xml:space="preserve"> recent report </w:t>
      </w:r>
      <w:r w:rsidRPr="00AC25FC">
        <w:rPr>
          <w:rFonts w:cs="Arial"/>
          <w:color w:val="000000" w:themeColor="text1"/>
          <w:sz w:val="28"/>
          <w:szCs w:val="28"/>
        </w:rPr>
        <w:t xml:space="preserve">released </w:t>
      </w:r>
      <w:r w:rsidR="00C77EE6">
        <w:rPr>
          <w:rFonts w:cs="Arial"/>
          <w:color w:val="000000" w:themeColor="text1"/>
          <w:sz w:val="28"/>
          <w:szCs w:val="28"/>
        </w:rPr>
        <w:t xml:space="preserve">in </w:t>
      </w:r>
      <w:r w:rsidRPr="00AC25FC">
        <w:rPr>
          <w:rFonts w:cs="Arial"/>
          <w:color w:val="000000" w:themeColor="text1"/>
          <w:sz w:val="28"/>
          <w:szCs w:val="28"/>
        </w:rPr>
        <w:t xml:space="preserve">August 2015 by the Economic Roundtable, a nonprofit research group based in Los Angeles, reveals that about 13,000 people fall into homelessness every month in Los Angeles </w:t>
      </w:r>
      <w:r w:rsidR="00D32F0A" w:rsidRPr="00AC25FC">
        <w:rPr>
          <w:rFonts w:cs="Arial"/>
          <w:color w:val="000000" w:themeColor="text1"/>
          <w:sz w:val="28"/>
          <w:szCs w:val="28"/>
        </w:rPr>
        <w:t>County</w:t>
      </w:r>
      <w:r w:rsidRPr="00AC25FC">
        <w:rPr>
          <w:rFonts w:cs="Arial"/>
          <w:color w:val="000000" w:themeColor="text1"/>
          <w:sz w:val="28"/>
          <w:szCs w:val="28"/>
        </w:rPr>
        <w:t xml:space="preserve">. That sheer number surprises even those who work in the field, and challenges those of us with faith to ask what we can do to help our sisters and brothers with no place to live. Besides advocating for affordable and subsidized housing, </w:t>
      </w:r>
      <w:r w:rsidR="00C77EE6">
        <w:rPr>
          <w:rFonts w:cs="Arial"/>
          <w:color w:val="000000" w:themeColor="text1"/>
          <w:sz w:val="28"/>
          <w:szCs w:val="28"/>
        </w:rPr>
        <w:t xml:space="preserve">as well as </w:t>
      </w:r>
      <w:r w:rsidRPr="00AC25FC">
        <w:rPr>
          <w:rFonts w:cs="Arial"/>
          <w:color w:val="000000" w:themeColor="text1"/>
          <w:sz w:val="28"/>
          <w:szCs w:val="28"/>
        </w:rPr>
        <w:t>effective public assistance programs, what can we do? How do we put into action, in our commute to work or daily activities,</w:t>
      </w:r>
      <w:r w:rsidR="00635E44" w:rsidRPr="00AC25FC">
        <w:rPr>
          <w:rFonts w:cs="Arial"/>
          <w:color w:val="000000" w:themeColor="text1"/>
          <w:sz w:val="28"/>
          <w:szCs w:val="28"/>
        </w:rPr>
        <w:t xml:space="preserve"> </w:t>
      </w:r>
      <w:r w:rsidRPr="00AC25FC">
        <w:rPr>
          <w:rFonts w:cs="Arial"/>
          <w:color w:val="000000" w:themeColor="text1"/>
          <w:sz w:val="28"/>
          <w:szCs w:val="28"/>
        </w:rPr>
        <w:t>the directive Pope Francis gives us when he says “Go out. Go out and share your testimony, go out and interact with your brothers (and sisters), go out and share, go out and ask. Become the Word in body as well as spirit.”?</w:t>
      </w:r>
    </w:p>
    <w:p w14:paraId="3F565941" w14:textId="77777777" w:rsidR="00C31DEB" w:rsidRPr="00AC25FC" w:rsidRDefault="00C31DEB" w:rsidP="00C77EE6">
      <w:pPr>
        <w:widowControl w:val="0"/>
        <w:autoSpaceDE w:val="0"/>
        <w:autoSpaceDN w:val="0"/>
        <w:adjustRightInd w:val="0"/>
        <w:spacing w:line="480" w:lineRule="auto"/>
        <w:ind w:firstLine="720"/>
        <w:rPr>
          <w:rFonts w:cs="Helvetica"/>
          <w:color w:val="000000" w:themeColor="text1"/>
          <w:sz w:val="28"/>
          <w:szCs w:val="28"/>
        </w:rPr>
      </w:pPr>
      <w:r w:rsidRPr="00AC25FC">
        <w:rPr>
          <w:rFonts w:cs="Arial"/>
          <w:color w:val="000000" w:themeColor="text1"/>
          <w:sz w:val="28"/>
          <w:szCs w:val="28"/>
        </w:rPr>
        <w:t xml:space="preserve">We might begin becoming the Word for others by coming to terms with the reasons we shut people out-communally and individually. </w:t>
      </w:r>
      <w:proofErr w:type="spellStart"/>
      <w:r w:rsidRPr="00AC25FC">
        <w:rPr>
          <w:color w:val="000000" w:themeColor="text1"/>
          <w:sz w:val="28"/>
          <w:szCs w:val="28"/>
          <w:shd w:val="clear" w:color="auto" w:fill="FFFFFF"/>
        </w:rPr>
        <w:t>Miroslav</w:t>
      </w:r>
      <w:proofErr w:type="spellEnd"/>
      <w:r w:rsidRPr="00AC25FC">
        <w:rPr>
          <w:color w:val="000000" w:themeColor="text1"/>
          <w:sz w:val="28"/>
          <w:szCs w:val="28"/>
          <w:shd w:val="clear" w:color="auto" w:fill="FFFFFF"/>
        </w:rPr>
        <w:t xml:space="preserve"> </w:t>
      </w:r>
      <w:proofErr w:type="spellStart"/>
      <w:r w:rsidRPr="00AC25FC">
        <w:rPr>
          <w:color w:val="000000" w:themeColor="text1"/>
          <w:sz w:val="28"/>
          <w:szCs w:val="28"/>
          <w:shd w:val="clear" w:color="auto" w:fill="FFFFFF"/>
        </w:rPr>
        <w:t>Volf</w:t>
      </w:r>
      <w:proofErr w:type="spellEnd"/>
      <w:r w:rsidRPr="00AC25FC">
        <w:rPr>
          <w:color w:val="000000" w:themeColor="text1"/>
          <w:sz w:val="28"/>
          <w:szCs w:val="28"/>
          <w:shd w:val="clear" w:color="auto" w:fill="FFFFFF"/>
        </w:rPr>
        <w:t xml:space="preserve"> proposes the radical notion of embrace as a response to exclusion. “And if we, the communal selves are called into eternal communion with the triune God, then true justice will always be on the way to embrace—to a place where we will belong together with our personal and cultural identities both preserved and </w:t>
      </w:r>
      <w:r w:rsidRPr="00AC25FC">
        <w:rPr>
          <w:color w:val="000000" w:themeColor="text1"/>
          <w:sz w:val="28"/>
          <w:szCs w:val="28"/>
          <w:shd w:val="clear" w:color="auto" w:fill="FFFFFF"/>
        </w:rPr>
        <w:lastRenderedPageBreak/>
        <w:t>transformed, but certainly enriched by the other.”</w:t>
      </w:r>
      <w:r w:rsidRPr="00AC25FC">
        <w:rPr>
          <w:rStyle w:val="FootnoteReference1"/>
          <w:color w:val="000000" w:themeColor="text1"/>
          <w:sz w:val="28"/>
          <w:szCs w:val="28"/>
          <w:shd w:val="clear" w:color="auto" w:fill="FFFFFF"/>
        </w:rPr>
        <w:footnoteReference w:id="1"/>
      </w:r>
    </w:p>
    <w:p w14:paraId="2BA8CD8F" w14:textId="306FF917" w:rsidR="00C31DEB" w:rsidRPr="00AC25FC" w:rsidRDefault="00C31DEB" w:rsidP="00C77EE6">
      <w:pPr>
        <w:spacing w:line="480" w:lineRule="auto"/>
        <w:ind w:firstLine="720"/>
        <w:rPr>
          <w:color w:val="000000" w:themeColor="text1"/>
          <w:sz w:val="28"/>
          <w:szCs w:val="28"/>
          <w:shd w:val="clear" w:color="auto" w:fill="FFFFFF"/>
        </w:rPr>
      </w:pPr>
      <w:r w:rsidRPr="00AC25FC">
        <w:rPr>
          <w:color w:val="000000" w:themeColor="text1"/>
          <w:sz w:val="28"/>
          <w:szCs w:val="28"/>
          <w:shd w:val="clear" w:color="auto" w:fill="FFFFFF"/>
        </w:rPr>
        <w:t>Every Sunday we re-enact the expansive actions of a God who modeled for us complete and utter embrace, “The Eucharist is the ritual time in which we celebrate this divine ‘making-space-for-us-and-inviting-us-in.’”</w:t>
      </w:r>
      <w:r w:rsidRPr="00AC25FC">
        <w:rPr>
          <w:rStyle w:val="FootnoteReference1"/>
          <w:color w:val="000000" w:themeColor="text1"/>
          <w:sz w:val="28"/>
          <w:szCs w:val="28"/>
          <w:shd w:val="clear" w:color="auto" w:fill="FFFFFF"/>
        </w:rPr>
        <w:footnoteReference w:id="2"/>
      </w:r>
      <w:r w:rsidRPr="00AC25FC">
        <w:rPr>
          <w:color w:val="000000" w:themeColor="text1"/>
          <w:sz w:val="28"/>
          <w:szCs w:val="28"/>
          <w:shd w:val="clear" w:color="auto" w:fill="FFFFFF"/>
        </w:rPr>
        <w:t xml:space="preserve">  It also centers around a table. This is not a coincidence. The table is where all come to be fed, physically and spiritually.</w:t>
      </w:r>
      <w:r w:rsidR="00635E44" w:rsidRPr="00AC25FC">
        <w:rPr>
          <w:color w:val="000000" w:themeColor="text1"/>
          <w:sz w:val="28"/>
          <w:szCs w:val="28"/>
          <w:shd w:val="clear" w:color="auto" w:fill="FFFFFF"/>
        </w:rPr>
        <w:t xml:space="preserve"> </w:t>
      </w:r>
      <w:r w:rsidRPr="00AC25FC">
        <w:rPr>
          <w:rFonts w:cs="Arial"/>
          <w:color w:val="000000" w:themeColor="text1"/>
          <w:sz w:val="28"/>
          <w:szCs w:val="28"/>
        </w:rPr>
        <w:t>Even if not at a table, can we offer to share a snack, or meal, with someone obviously in need?</w:t>
      </w:r>
    </w:p>
    <w:p w14:paraId="05E2B51A" w14:textId="5582E4E1" w:rsidR="00C31DEB" w:rsidRPr="00AC25FC" w:rsidRDefault="00C31DEB" w:rsidP="00C77EE6">
      <w:pPr>
        <w:widowControl w:val="0"/>
        <w:autoSpaceDE w:val="0"/>
        <w:autoSpaceDN w:val="0"/>
        <w:adjustRightInd w:val="0"/>
        <w:spacing w:line="480" w:lineRule="auto"/>
        <w:ind w:firstLine="720"/>
        <w:rPr>
          <w:color w:val="000000" w:themeColor="text1"/>
          <w:sz w:val="28"/>
          <w:szCs w:val="28"/>
          <w:shd w:val="clear" w:color="auto" w:fill="FFFFFF"/>
        </w:rPr>
      </w:pPr>
      <w:r w:rsidRPr="00AC25FC">
        <w:rPr>
          <w:color w:val="000000" w:themeColor="text1"/>
          <w:sz w:val="28"/>
          <w:szCs w:val="28"/>
          <w:shd w:val="clear" w:color="auto" w:fill="FFFFFF"/>
        </w:rPr>
        <w:t xml:space="preserve">The table fellowship that is so prominent in </w:t>
      </w:r>
      <w:proofErr w:type="spellStart"/>
      <w:r w:rsidRPr="00AC25FC">
        <w:rPr>
          <w:color w:val="000000" w:themeColor="text1"/>
          <w:sz w:val="28"/>
          <w:szCs w:val="28"/>
          <w:shd w:val="clear" w:color="auto" w:fill="FFFFFF"/>
        </w:rPr>
        <w:t>Lukan</w:t>
      </w:r>
      <w:proofErr w:type="spellEnd"/>
      <w:r w:rsidRPr="00AC25FC">
        <w:rPr>
          <w:color w:val="000000" w:themeColor="text1"/>
          <w:sz w:val="28"/>
          <w:szCs w:val="28"/>
          <w:shd w:val="clear" w:color="auto" w:fill="FFFFFF"/>
        </w:rPr>
        <w:t xml:space="preserve"> writings reveals </w:t>
      </w:r>
      <w:r w:rsidR="00C77EE6">
        <w:rPr>
          <w:color w:val="000000" w:themeColor="text1"/>
          <w:sz w:val="28"/>
          <w:szCs w:val="28"/>
          <w:shd w:val="clear" w:color="auto" w:fill="FFFFFF"/>
        </w:rPr>
        <w:t xml:space="preserve">the </w:t>
      </w:r>
      <w:r w:rsidRPr="00AC25FC">
        <w:rPr>
          <w:color w:val="000000" w:themeColor="text1"/>
          <w:sz w:val="28"/>
          <w:szCs w:val="28"/>
          <w:shd w:val="clear" w:color="auto" w:fill="FFFFFF"/>
        </w:rPr>
        <w:t>radic</w:t>
      </w:r>
      <w:r w:rsidR="00635E44" w:rsidRPr="00AC25FC">
        <w:rPr>
          <w:color w:val="000000" w:themeColor="text1"/>
          <w:sz w:val="28"/>
          <w:szCs w:val="28"/>
          <w:shd w:val="clear" w:color="auto" w:fill="FFFFFF"/>
        </w:rPr>
        <w:t>ally different meal partners Jesus had</w:t>
      </w:r>
      <w:r w:rsidR="00C77EE6">
        <w:rPr>
          <w:color w:val="000000" w:themeColor="text1"/>
          <w:sz w:val="28"/>
          <w:szCs w:val="28"/>
          <w:shd w:val="clear" w:color="auto" w:fill="FFFFFF"/>
        </w:rPr>
        <w:t xml:space="preserve">. </w:t>
      </w:r>
      <w:r w:rsidRPr="00AC25FC">
        <w:rPr>
          <w:color w:val="000000" w:themeColor="text1"/>
          <w:sz w:val="28"/>
          <w:szCs w:val="28"/>
          <w:shd w:val="clear" w:color="auto" w:fill="FFFFFF"/>
        </w:rPr>
        <w:t>“While meals in the ancient world often function to consolidate the boundary of an existing community, many meal scenes in Luke aim instead at breaking such boundaries.”</w:t>
      </w:r>
      <w:r w:rsidRPr="00AC25FC">
        <w:rPr>
          <w:rStyle w:val="FootnoteReference1"/>
          <w:color w:val="000000" w:themeColor="text1"/>
          <w:sz w:val="28"/>
          <w:szCs w:val="28"/>
          <w:shd w:val="clear" w:color="auto" w:fill="FFFFFF"/>
        </w:rPr>
        <w:footnoteReference w:id="3"/>
      </w:r>
      <w:r w:rsidRPr="00AC25FC">
        <w:rPr>
          <w:color w:val="000000" w:themeColor="text1"/>
          <w:sz w:val="28"/>
          <w:szCs w:val="28"/>
          <w:shd w:val="clear" w:color="auto" w:fill="FFFFFF"/>
        </w:rPr>
        <w:t xml:space="preserve"> Jesus eats with those one might not expect, “tax collectors and sinner</w:t>
      </w:r>
      <w:r w:rsidR="00C77EE6">
        <w:rPr>
          <w:color w:val="000000" w:themeColor="text1"/>
          <w:sz w:val="28"/>
          <w:szCs w:val="28"/>
          <w:shd w:val="clear" w:color="auto" w:fill="FFFFFF"/>
        </w:rPr>
        <w:t>s” (</w:t>
      </w:r>
      <w:proofErr w:type="spellStart"/>
      <w:r w:rsidR="00C77EE6">
        <w:rPr>
          <w:color w:val="000000" w:themeColor="text1"/>
          <w:sz w:val="28"/>
          <w:szCs w:val="28"/>
          <w:shd w:val="clear" w:color="auto" w:fill="FFFFFF"/>
        </w:rPr>
        <w:t>Lk</w:t>
      </w:r>
      <w:proofErr w:type="spellEnd"/>
      <w:r w:rsidR="00C77EE6">
        <w:rPr>
          <w:color w:val="000000" w:themeColor="text1"/>
          <w:sz w:val="28"/>
          <w:szCs w:val="28"/>
          <w:shd w:val="clear" w:color="auto" w:fill="FFFFFF"/>
        </w:rPr>
        <w:t>. 5:30, 7:34, 15:10). The tax collectors</w:t>
      </w:r>
      <w:r w:rsidRPr="00AC25FC">
        <w:rPr>
          <w:color w:val="000000" w:themeColor="text1"/>
          <w:sz w:val="28"/>
          <w:szCs w:val="28"/>
          <w:shd w:val="clear" w:color="auto" w:fill="FFFFFF"/>
        </w:rPr>
        <w:t xml:space="preserve"> represent those not in the mainstream, the outcasts (cf. 3:12; 18:9-</w:t>
      </w:r>
      <w:proofErr w:type="gramStart"/>
      <w:r w:rsidRPr="00AC25FC">
        <w:rPr>
          <w:color w:val="000000" w:themeColor="text1"/>
          <w:sz w:val="28"/>
          <w:szCs w:val="28"/>
          <w:shd w:val="clear" w:color="auto" w:fill="FFFFFF"/>
        </w:rPr>
        <w:t>14</w:t>
      </w:r>
      <w:r w:rsidR="00C77EE6">
        <w:rPr>
          <w:color w:val="000000" w:themeColor="text1"/>
          <w:sz w:val="28"/>
          <w:szCs w:val="28"/>
          <w:shd w:val="clear" w:color="auto" w:fill="FFFFFF"/>
        </w:rPr>
        <w:t xml:space="preserve"> </w:t>
      </w:r>
      <w:r w:rsidRPr="00AC25FC">
        <w:rPr>
          <w:color w:val="000000" w:themeColor="text1"/>
          <w:sz w:val="28"/>
          <w:szCs w:val="28"/>
          <w:shd w:val="clear" w:color="auto" w:fill="FFFFFF"/>
        </w:rPr>
        <w:t>,</w:t>
      </w:r>
      <w:proofErr w:type="gramEnd"/>
      <w:r w:rsidRPr="00AC25FC">
        <w:rPr>
          <w:color w:val="000000" w:themeColor="text1"/>
          <w:sz w:val="28"/>
          <w:szCs w:val="28"/>
          <w:shd w:val="clear" w:color="auto" w:fill="FFFFFF"/>
        </w:rPr>
        <w:t xml:space="preserve"> 19:1-10)</w:t>
      </w:r>
      <w:r w:rsidR="00902677">
        <w:rPr>
          <w:color w:val="000000" w:themeColor="text1"/>
          <w:sz w:val="28"/>
          <w:szCs w:val="28"/>
          <w:shd w:val="clear" w:color="auto" w:fill="FFFFFF"/>
        </w:rPr>
        <w:t>,</w:t>
      </w:r>
      <w:r w:rsidRPr="00AC25FC">
        <w:rPr>
          <w:color w:val="000000" w:themeColor="text1"/>
          <w:sz w:val="28"/>
          <w:szCs w:val="28"/>
          <w:shd w:val="clear" w:color="auto" w:fill="FFFFFF"/>
        </w:rPr>
        <w:t xml:space="preserve"> the sinners, the unclean and impure (cf. 6:32-34; 18:13; 19:7). “By participating in fellowship with these stereotypical groups, the </w:t>
      </w:r>
      <w:proofErr w:type="spellStart"/>
      <w:r w:rsidRPr="00AC25FC">
        <w:rPr>
          <w:color w:val="000000" w:themeColor="text1"/>
          <w:sz w:val="28"/>
          <w:szCs w:val="28"/>
          <w:shd w:val="clear" w:color="auto" w:fill="FFFFFF"/>
        </w:rPr>
        <w:t>Lukan</w:t>
      </w:r>
      <w:proofErr w:type="spellEnd"/>
      <w:r w:rsidRPr="00AC25FC">
        <w:rPr>
          <w:color w:val="000000" w:themeColor="text1"/>
          <w:sz w:val="28"/>
          <w:szCs w:val="28"/>
          <w:shd w:val="clear" w:color="auto" w:fill="FFFFFF"/>
        </w:rPr>
        <w:t xml:space="preserve"> Jesus challenges the traditional boundaries of God’s community.”</w:t>
      </w:r>
      <w:r w:rsidRPr="00AC25FC">
        <w:rPr>
          <w:rStyle w:val="FootnoteReference1"/>
          <w:color w:val="000000" w:themeColor="text1"/>
          <w:sz w:val="28"/>
          <w:szCs w:val="28"/>
          <w:shd w:val="clear" w:color="auto" w:fill="FFFFFF"/>
        </w:rPr>
        <w:footnoteReference w:id="4"/>
      </w:r>
      <w:r w:rsidRPr="00AC25FC">
        <w:rPr>
          <w:color w:val="000000" w:themeColor="text1"/>
          <w:sz w:val="28"/>
          <w:szCs w:val="28"/>
          <w:shd w:val="clear" w:color="auto" w:fill="FFFFFF"/>
        </w:rPr>
        <w:t xml:space="preserve"> Might not the local </w:t>
      </w:r>
      <w:r w:rsidRPr="00AC25FC">
        <w:rPr>
          <w:color w:val="000000" w:themeColor="text1"/>
          <w:sz w:val="28"/>
          <w:szCs w:val="28"/>
          <w:shd w:val="clear" w:color="auto" w:fill="FFFFFF"/>
        </w:rPr>
        <w:lastRenderedPageBreak/>
        <w:t>homeless shelter be a likely place to mimic the example of Jesus?</w:t>
      </w:r>
    </w:p>
    <w:p w14:paraId="654A6B3A" w14:textId="3DDB4AA5" w:rsidR="00C31DEB" w:rsidRPr="00AC25FC" w:rsidRDefault="00C31DEB" w:rsidP="00635E44">
      <w:pPr>
        <w:widowControl w:val="0"/>
        <w:autoSpaceDE w:val="0"/>
        <w:autoSpaceDN w:val="0"/>
        <w:adjustRightInd w:val="0"/>
        <w:spacing w:line="480" w:lineRule="auto"/>
        <w:rPr>
          <w:color w:val="000000" w:themeColor="text1"/>
          <w:sz w:val="28"/>
          <w:szCs w:val="28"/>
          <w:shd w:val="clear" w:color="auto" w:fill="FFFFFF"/>
        </w:rPr>
      </w:pPr>
      <w:r w:rsidRPr="00AC25FC">
        <w:rPr>
          <w:color w:val="000000" w:themeColor="text1"/>
          <w:sz w:val="28"/>
          <w:szCs w:val="28"/>
          <w:shd w:val="clear" w:color="auto" w:fill="FFFFFF"/>
        </w:rPr>
        <w:t xml:space="preserve"> </w:t>
      </w:r>
      <w:r w:rsidR="00902677">
        <w:rPr>
          <w:color w:val="000000" w:themeColor="text1"/>
          <w:sz w:val="28"/>
          <w:szCs w:val="28"/>
          <w:shd w:val="clear" w:color="auto" w:fill="FFFFFF"/>
        </w:rPr>
        <w:tab/>
      </w:r>
      <w:r w:rsidRPr="00AC25FC">
        <w:rPr>
          <w:rFonts w:cs="Arial"/>
          <w:color w:val="000000" w:themeColor="text1"/>
          <w:sz w:val="28"/>
          <w:szCs w:val="28"/>
        </w:rPr>
        <w:t xml:space="preserve">In three years of weekly visits to Isaiah House, </w:t>
      </w:r>
      <w:r w:rsidR="00D87F26" w:rsidRPr="00AC25FC">
        <w:rPr>
          <w:color w:val="000000" w:themeColor="text1"/>
          <w:sz w:val="28"/>
          <w:szCs w:val="28"/>
        </w:rPr>
        <w:t xml:space="preserve">I have observed that there are different manners of practicing hospitality to strangers, some more Christian than others. Some pray before serving, either with the women or not. Several weeks ago, a well-meaning gentleman began the prayer in their backyard, “welcoming” them, which was awkward, as it is actually their space, more than his. </w:t>
      </w:r>
      <w:r w:rsidR="00D87F26" w:rsidRPr="00AC25FC">
        <w:rPr>
          <w:color w:val="000000" w:themeColor="text1"/>
          <w:sz w:val="28"/>
          <w:szCs w:val="28"/>
          <w:shd w:val="clear" w:color="auto" w:fill="FFFFFF"/>
        </w:rPr>
        <w:t>Some food preparers socialize with the residents before meals are served, chatting with those they</w:t>
      </w:r>
      <w:r w:rsidR="00902677">
        <w:rPr>
          <w:color w:val="000000" w:themeColor="text1"/>
          <w:sz w:val="28"/>
          <w:szCs w:val="28"/>
          <w:shd w:val="clear" w:color="auto" w:fill="FFFFFF"/>
        </w:rPr>
        <w:t xml:space="preserve"> are </w:t>
      </w:r>
      <w:r w:rsidR="00D87F26" w:rsidRPr="00AC25FC">
        <w:rPr>
          <w:color w:val="000000" w:themeColor="text1"/>
          <w:sz w:val="28"/>
          <w:szCs w:val="28"/>
          <w:shd w:val="clear" w:color="auto" w:fill="FFFFFF"/>
        </w:rPr>
        <w:t>familiar with, and eating with them. Others do not. Some food-servers have the women come up to the high pass-through counter to receive their plates of food through the window area, while others invite the ladies to come directly through the large kitchen to receive their meal, an experience allowing for much more interaction.</w:t>
      </w:r>
    </w:p>
    <w:p w14:paraId="6642DAE3" w14:textId="77777777" w:rsidR="00DB0F80" w:rsidRPr="00AC25FC" w:rsidRDefault="00DB0F80" w:rsidP="00DB0F80">
      <w:pPr>
        <w:spacing w:line="480" w:lineRule="auto"/>
        <w:rPr>
          <w:color w:val="000000" w:themeColor="text1"/>
          <w:sz w:val="28"/>
          <w:szCs w:val="28"/>
          <w:shd w:val="clear" w:color="auto" w:fill="FFFFFF"/>
        </w:rPr>
      </w:pPr>
      <w:r w:rsidRPr="00AC25FC">
        <w:rPr>
          <w:color w:val="000000" w:themeColor="text1"/>
          <w:sz w:val="28"/>
          <w:szCs w:val="28"/>
          <w:shd w:val="clear" w:color="auto" w:fill="FFFFFF"/>
        </w:rPr>
        <w:tab/>
        <w:t xml:space="preserve">If we have not often experienced need or marginality, we might not be able to identify with being on the receiving end, and all that that entails. </w:t>
      </w:r>
      <w:proofErr w:type="spellStart"/>
      <w:r w:rsidRPr="00AC25FC">
        <w:rPr>
          <w:color w:val="000000" w:themeColor="text1"/>
          <w:sz w:val="28"/>
          <w:szCs w:val="28"/>
          <w:shd w:val="clear" w:color="auto" w:fill="FFFFFF"/>
        </w:rPr>
        <w:t>Evagrius</w:t>
      </w:r>
      <w:proofErr w:type="spellEnd"/>
      <w:r w:rsidRPr="00AC25FC">
        <w:rPr>
          <w:color w:val="000000" w:themeColor="text1"/>
          <w:sz w:val="28"/>
          <w:szCs w:val="28"/>
          <w:shd w:val="clear" w:color="auto" w:fill="FFFFFF"/>
        </w:rPr>
        <w:t xml:space="preserve"> </w:t>
      </w:r>
      <w:proofErr w:type="spellStart"/>
      <w:r w:rsidRPr="00AC25FC">
        <w:rPr>
          <w:color w:val="000000" w:themeColor="text1"/>
          <w:sz w:val="28"/>
          <w:szCs w:val="28"/>
          <w:shd w:val="clear" w:color="auto" w:fill="FFFFFF"/>
        </w:rPr>
        <w:t>Ponticus</w:t>
      </w:r>
      <w:proofErr w:type="spellEnd"/>
      <w:r w:rsidRPr="00AC25FC">
        <w:rPr>
          <w:color w:val="000000" w:themeColor="text1"/>
          <w:sz w:val="28"/>
          <w:szCs w:val="28"/>
          <w:shd w:val="clear" w:color="auto" w:fill="FFFFFF"/>
        </w:rPr>
        <w:t>, a Christian monk and ascetic of the fourth century, writes, “there is great shame from accepting the necessities of life from another.”</w:t>
      </w:r>
      <w:r w:rsidRPr="00AC25FC">
        <w:rPr>
          <w:rStyle w:val="FootnoteReference1"/>
          <w:color w:val="000000" w:themeColor="text1"/>
          <w:sz w:val="28"/>
          <w:szCs w:val="28"/>
          <w:shd w:val="clear" w:color="auto" w:fill="FFFFFF"/>
        </w:rPr>
        <w:footnoteReference w:id="5"/>
      </w:r>
      <w:r w:rsidRPr="00AC25FC">
        <w:rPr>
          <w:color w:val="000000" w:themeColor="text1"/>
          <w:sz w:val="28"/>
          <w:szCs w:val="28"/>
          <w:shd w:val="clear" w:color="auto" w:fill="FFFFFF"/>
        </w:rPr>
        <w:t xml:space="preserve"> Father Gregory Boyle speaks of shame being the root of all addictions. It affects not only our relationship with others, but that with our Creator, “Shame has a profound effect </w:t>
      </w:r>
      <w:r w:rsidRPr="00AC25FC">
        <w:rPr>
          <w:color w:val="000000" w:themeColor="text1"/>
          <w:sz w:val="28"/>
          <w:szCs w:val="28"/>
          <w:shd w:val="clear" w:color="auto" w:fill="FFFFFF"/>
        </w:rPr>
        <w:lastRenderedPageBreak/>
        <w:t>on one’s intra-and interpersonal life. It has the power to induce feelings of inadequacy about oneself, inferiority relative to others, and a sense of deficiency relative to a relationship with God.”</w:t>
      </w:r>
      <w:r w:rsidRPr="00AC25FC">
        <w:rPr>
          <w:rStyle w:val="FootnoteReference1"/>
          <w:color w:val="000000" w:themeColor="text1"/>
          <w:sz w:val="28"/>
          <w:szCs w:val="28"/>
          <w:shd w:val="clear" w:color="auto" w:fill="FFFFFF"/>
        </w:rPr>
        <w:footnoteReference w:id="6"/>
      </w:r>
    </w:p>
    <w:p w14:paraId="2DD417F3" w14:textId="77777777" w:rsidR="00DB0F80" w:rsidRPr="00AC25FC" w:rsidRDefault="00DB0F80" w:rsidP="00DB0F80">
      <w:pPr>
        <w:spacing w:line="480" w:lineRule="auto"/>
        <w:rPr>
          <w:color w:val="000000" w:themeColor="text1"/>
          <w:sz w:val="28"/>
          <w:szCs w:val="28"/>
          <w:shd w:val="clear" w:color="auto" w:fill="FFFFFF"/>
        </w:rPr>
      </w:pPr>
      <w:r w:rsidRPr="00AC25FC">
        <w:rPr>
          <w:color w:val="000000" w:themeColor="text1"/>
          <w:sz w:val="28"/>
          <w:szCs w:val="28"/>
          <w:shd w:val="clear" w:color="auto" w:fill="FFFFFF"/>
        </w:rPr>
        <w:tab/>
        <w:t>There is a danger of perpetuating this debilitating sense of shame if we are not able to approach the other with humility. Spending time is necessary, as is a willingness to spend self. We can insist upon maintaining the distinction between server and served, giver and recipient, or we can realize that as Father Boyle proclaims: “we are mutually in need of healing.”</w:t>
      </w:r>
      <w:r w:rsidRPr="00AC25FC">
        <w:rPr>
          <w:rStyle w:val="FootnoteReference1"/>
          <w:color w:val="000000" w:themeColor="text1"/>
          <w:sz w:val="28"/>
          <w:szCs w:val="28"/>
          <w:shd w:val="clear" w:color="auto" w:fill="FFFFFF"/>
        </w:rPr>
        <w:footnoteReference w:id="7"/>
      </w:r>
      <w:r w:rsidRPr="00AC25FC">
        <w:rPr>
          <w:color w:val="000000" w:themeColor="text1"/>
          <w:sz w:val="28"/>
          <w:szCs w:val="28"/>
          <w:shd w:val="clear" w:color="auto" w:fill="FFFFFF"/>
        </w:rPr>
        <w:t xml:space="preserve"> </w:t>
      </w:r>
    </w:p>
    <w:p w14:paraId="3CA784D1" w14:textId="4EFF74BF" w:rsidR="00DB0F80" w:rsidRPr="00AC25FC" w:rsidRDefault="00DB0F80" w:rsidP="00DB0F80">
      <w:pPr>
        <w:spacing w:line="480" w:lineRule="auto"/>
        <w:rPr>
          <w:color w:val="000000" w:themeColor="text1"/>
          <w:sz w:val="28"/>
          <w:szCs w:val="28"/>
          <w:shd w:val="clear" w:color="auto" w:fill="FFFFFF"/>
        </w:rPr>
      </w:pPr>
      <w:r w:rsidRPr="00AC25FC">
        <w:rPr>
          <w:color w:val="000000" w:themeColor="text1"/>
          <w:sz w:val="28"/>
          <w:szCs w:val="28"/>
          <w:shd w:val="clear" w:color="auto" w:fill="FFFFFF"/>
        </w:rPr>
        <w:tab/>
        <w:t>Meister Eckhart was “not so much concerned with works as with the spirit with which we perform them.”</w:t>
      </w:r>
      <w:r w:rsidRPr="00AC25FC">
        <w:rPr>
          <w:rStyle w:val="FootnoteReference1"/>
          <w:color w:val="000000" w:themeColor="text1"/>
          <w:sz w:val="28"/>
          <w:szCs w:val="28"/>
          <w:shd w:val="clear" w:color="auto" w:fill="FFFFFF"/>
        </w:rPr>
        <w:footnoteReference w:id="8"/>
      </w:r>
      <w:r w:rsidRPr="00AC25FC">
        <w:rPr>
          <w:color w:val="000000" w:themeColor="text1"/>
          <w:sz w:val="28"/>
          <w:szCs w:val="28"/>
          <w:shd w:val="clear" w:color="auto" w:fill="FFFFFF"/>
        </w:rPr>
        <w:t xml:space="preserve">  Boyle speaks along the same lines when he says that the measure of compassion does not equal service, but the willingness to be in kinship with another. If we insist on taking the role of hosts, and therefore allocate the role of guest to the one in need, we reinforce the stigma already there. The provider of food/resources must be able to receive also, even, and perhaps especially</w:t>
      </w:r>
      <w:r w:rsidR="00902677">
        <w:rPr>
          <w:color w:val="000000" w:themeColor="text1"/>
          <w:sz w:val="28"/>
          <w:szCs w:val="28"/>
          <w:shd w:val="clear" w:color="auto" w:fill="FFFFFF"/>
        </w:rPr>
        <w:t>,</w:t>
      </w:r>
      <w:r w:rsidRPr="00AC25FC">
        <w:rPr>
          <w:color w:val="000000" w:themeColor="text1"/>
          <w:sz w:val="28"/>
          <w:szCs w:val="28"/>
          <w:shd w:val="clear" w:color="auto" w:fill="FFFFFF"/>
        </w:rPr>
        <w:t xml:space="preserve"> from one who has little to give</w:t>
      </w:r>
      <w:r w:rsidR="00902677">
        <w:rPr>
          <w:color w:val="000000" w:themeColor="text1"/>
          <w:sz w:val="28"/>
          <w:szCs w:val="28"/>
          <w:shd w:val="clear" w:color="auto" w:fill="FFFFFF"/>
        </w:rPr>
        <w:t>.</w:t>
      </w:r>
      <w:r w:rsidRPr="00AC25FC">
        <w:rPr>
          <w:color w:val="000000" w:themeColor="text1"/>
          <w:sz w:val="28"/>
          <w:szCs w:val="28"/>
          <w:shd w:val="clear" w:color="auto" w:fill="FFFFFF"/>
        </w:rPr>
        <w:t xml:space="preserve"> “There is a complex dance </w:t>
      </w:r>
      <w:r w:rsidRPr="00AC25FC">
        <w:rPr>
          <w:color w:val="000000" w:themeColor="text1"/>
          <w:sz w:val="28"/>
          <w:szCs w:val="28"/>
          <w:shd w:val="clear" w:color="auto" w:fill="FFFFFF"/>
        </w:rPr>
        <w:lastRenderedPageBreak/>
        <w:t>between recognizing our own need, ministering to those in need, and recognizing their ministry to us.”</w:t>
      </w:r>
      <w:r w:rsidRPr="00AC25FC">
        <w:rPr>
          <w:rStyle w:val="FootnoteReference1"/>
          <w:color w:val="000000" w:themeColor="text1"/>
          <w:sz w:val="28"/>
          <w:szCs w:val="28"/>
          <w:shd w:val="clear" w:color="auto" w:fill="FFFFFF"/>
        </w:rPr>
        <w:footnoteReference w:id="9"/>
      </w:r>
    </w:p>
    <w:p w14:paraId="1C9840D1" w14:textId="66398AA1" w:rsidR="00884BEE" w:rsidRPr="00902677" w:rsidRDefault="00884BEE" w:rsidP="00902677">
      <w:pPr>
        <w:widowControl w:val="0"/>
        <w:autoSpaceDE w:val="0"/>
        <w:autoSpaceDN w:val="0"/>
        <w:adjustRightInd w:val="0"/>
        <w:spacing w:line="480" w:lineRule="auto"/>
        <w:ind w:firstLine="720"/>
        <w:rPr>
          <w:color w:val="000000" w:themeColor="text1"/>
          <w:sz w:val="28"/>
          <w:szCs w:val="28"/>
        </w:rPr>
      </w:pPr>
      <w:r w:rsidRPr="00AC25FC">
        <w:rPr>
          <w:color w:val="000000" w:themeColor="text1"/>
          <w:sz w:val="28"/>
          <w:szCs w:val="28"/>
        </w:rPr>
        <w:t>Looking at someone without judgment and with love, with what Leia Smith of the Orange County Catholic Worker calls an “eye blessing</w:t>
      </w:r>
      <w:r w:rsidR="00902677">
        <w:rPr>
          <w:color w:val="000000" w:themeColor="text1"/>
          <w:sz w:val="28"/>
          <w:szCs w:val="28"/>
        </w:rPr>
        <w:t>,</w:t>
      </w:r>
      <w:r w:rsidRPr="00AC25FC">
        <w:rPr>
          <w:color w:val="000000" w:themeColor="text1"/>
          <w:sz w:val="28"/>
          <w:szCs w:val="28"/>
        </w:rPr>
        <w:t>” can help with healing.</w:t>
      </w:r>
      <w:r w:rsidR="0089031F">
        <w:rPr>
          <w:color w:val="000000" w:themeColor="text1"/>
          <w:sz w:val="28"/>
          <w:szCs w:val="28"/>
        </w:rPr>
        <w:t xml:space="preserve"> </w:t>
      </w:r>
      <w:r w:rsidRPr="00AC25FC">
        <w:rPr>
          <w:color w:val="000000" w:themeColor="text1"/>
          <w:sz w:val="28"/>
          <w:szCs w:val="28"/>
        </w:rPr>
        <w:t>There might be some awkwardness at first, on both sides</w:t>
      </w:r>
      <w:r w:rsidR="00902677">
        <w:rPr>
          <w:color w:val="000000" w:themeColor="text1"/>
          <w:sz w:val="28"/>
          <w:szCs w:val="28"/>
        </w:rPr>
        <w:t>, but</w:t>
      </w:r>
      <w:r w:rsidRPr="00AC25FC">
        <w:rPr>
          <w:color w:val="000000" w:themeColor="text1"/>
          <w:sz w:val="28"/>
          <w:szCs w:val="28"/>
        </w:rPr>
        <w:t xml:space="preserve"> putting ourselves, deliberately</w:t>
      </w:r>
      <w:r w:rsidR="00902677">
        <w:rPr>
          <w:color w:val="000000" w:themeColor="text1"/>
          <w:sz w:val="28"/>
          <w:szCs w:val="28"/>
        </w:rPr>
        <w:t xml:space="preserve"> in a new situation </w:t>
      </w:r>
      <w:r w:rsidRPr="00AC25FC">
        <w:rPr>
          <w:color w:val="000000" w:themeColor="text1"/>
          <w:sz w:val="28"/>
          <w:szCs w:val="28"/>
        </w:rPr>
        <w:t>might be the first step towards softening our stony hearts and replacing them with more compassionate ones.</w:t>
      </w:r>
      <w:r w:rsidRPr="00AC25FC">
        <w:rPr>
          <w:rStyle w:val="FootnoteReference1"/>
          <w:color w:val="000000" w:themeColor="text1"/>
          <w:sz w:val="28"/>
          <w:szCs w:val="28"/>
        </w:rPr>
        <w:footnoteReference w:id="10"/>
      </w:r>
      <w:r w:rsidRPr="00AC25FC">
        <w:rPr>
          <w:color w:val="000000" w:themeColor="text1"/>
          <w:sz w:val="28"/>
          <w:szCs w:val="28"/>
        </w:rPr>
        <w:t xml:space="preserve"> </w:t>
      </w:r>
      <w:r w:rsidRPr="00AC25FC">
        <w:rPr>
          <w:color w:val="000000" w:themeColor="text1"/>
          <w:sz w:val="28"/>
          <w:szCs w:val="28"/>
          <w:shd w:val="clear" w:color="auto" w:fill="FFFFFF"/>
        </w:rPr>
        <w:t>Being open to conversion experiences may not come naturally or comfortably to those of us who are wary of new situations</w:t>
      </w:r>
      <w:r w:rsidR="00902677">
        <w:rPr>
          <w:color w:val="000000" w:themeColor="text1"/>
          <w:sz w:val="28"/>
          <w:szCs w:val="28"/>
          <w:shd w:val="clear" w:color="auto" w:fill="FFFFFF"/>
        </w:rPr>
        <w:t>. However, exposing</w:t>
      </w:r>
      <w:r w:rsidRPr="00AC25FC">
        <w:rPr>
          <w:color w:val="000000" w:themeColor="text1"/>
          <w:sz w:val="28"/>
          <w:szCs w:val="28"/>
          <w:shd w:val="clear" w:color="auto" w:fill="FFFFFF"/>
        </w:rPr>
        <w:t xml:space="preserve"> our lives, and hopefully</w:t>
      </w:r>
      <w:r w:rsidR="00902677">
        <w:rPr>
          <w:color w:val="000000" w:themeColor="text1"/>
          <w:sz w:val="28"/>
          <w:szCs w:val="28"/>
          <w:shd w:val="clear" w:color="auto" w:fill="FFFFFF"/>
        </w:rPr>
        <w:t xml:space="preserve"> </w:t>
      </w:r>
      <w:r w:rsidRPr="00AC25FC">
        <w:rPr>
          <w:color w:val="000000" w:themeColor="text1"/>
          <w:sz w:val="28"/>
          <w:szCs w:val="28"/>
          <w:shd w:val="clear" w:color="auto" w:fill="FFFFFF"/>
        </w:rPr>
        <w:t>therefore, our hearts, to others who differ from us</w:t>
      </w:r>
      <w:r w:rsidR="00902677">
        <w:rPr>
          <w:color w:val="000000" w:themeColor="text1"/>
          <w:sz w:val="28"/>
          <w:szCs w:val="28"/>
          <w:shd w:val="clear" w:color="auto" w:fill="FFFFFF"/>
        </w:rPr>
        <w:t xml:space="preserve"> </w:t>
      </w:r>
      <w:r w:rsidRPr="00AC25FC">
        <w:rPr>
          <w:color w:val="000000" w:themeColor="text1"/>
          <w:sz w:val="28"/>
          <w:szCs w:val="28"/>
          <w:shd w:val="clear" w:color="auto" w:fill="FFFFFF"/>
        </w:rPr>
        <w:t xml:space="preserve">may, with time, </w:t>
      </w:r>
      <w:r w:rsidR="00AC25FC">
        <w:rPr>
          <w:color w:val="000000" w:themeColor="text1"/>
          <w:sz w:val="28"/>
          <w:szCs w:val="28"/>
          <w:shd w:val="clear" w:color="auto" w:fill="FFFFFF"/>
        </w:rPr>
        <w:t>re</w:t>
      </w:r>
      <w:r w:rsidRPr="00AC25FC">
        <w:rPr>
          <w:color w:val="000000" w:themeColor="text1"/>
          <w:sz w:val="28"/>
          <w:szCs w:val="28"/>
          <w:shd w:val="clear" w:color="auto" w:fill="FFFFFF"/>
        </w:rPr>
        <w:t>introduce us to the Savior who resides in each of us.</w:t>
      </w:r>
    </w:p>
    <w:p w14:paraId="7E312D75" w14:textId="77777777" w:rsidR="00112E39" w:rsidRDefault="00112E39" w:rsidP="00884BEE">
      <w:pPr>
        <w:spacing w:line="480" w:lineRule="auto"/>
        <w:rPr>
          <w:color w:val="000000" w:themeColor="text1"/>
          <w:sz w:val="28"/>
          <w:szCs w:val="28"/>
          <w:shd w:val="clear" w:color="auto" w:fill="FFFFFF"/>
        </w:rPr>
      </w:pPr>
    </w:p>
    <w:p w14:paraId="3FA9DBDD" w14:textId="77777777" w:rsidR="00112E39" w:rsidRPr="00AC25FC" w:rsidRDefault="00112E39" w:rsidP="00884BEE">
      <w:pPr>
        <w:spacing w:line="480" w:lineRule="auto"/>
        <w:rPr>
          <w:color w:val="000000" w:themeColor="text1"/>
          <w:sz w:val="28"/>
          <w:szCs w:val="28"/>
          <w:shd w:val="clear" w:color="auto" w:fill="FFFFFF"/>
        </w:rPr>
      </w:pPr>
    </w:p>
    <w:p w14:paraId="275D63AD" w14:textId="40FC6C3F" w:rsidR="00C31DEB" w:rsidRDefault="00C31DEB" w:rsidP="00635E44">
      <w:pPr>
        <w:spacing w:line="480" w:lineRule="auto"/>
        <w:rPr>
          <w:color w:val="000000" w:themeColor="text1"/>
          <w:sz w:val="28"/>
          <w:szCs w:val="28"/>
        </w:rPr>
      </w:pPr>
    </w:p>
    <w:p w14:paraId="60B892A5" w14:textId="77777777" w:rsidR="00A51DC4" w:rsidRDefault="00A51DC4" w:rsidP="00635E44">
      <w:pPr>
        <w:spacing w:line="480" w:lineRule="auto"/>
        <w:rPr>
          <w:color w:val="000000" w:themeColor="text1"/>
          <w:sz w:val="28"/>
          <w:szCs w:val="28"/>
        </w:rPr>
      </w:pPr>
    </w:p>
    <w:p w14:paraId="23DEB4C9" w14:textId="77777777" w:rsidR="00A51DC4" w:rsidRDefault="00A51DC4" w:rsidP="00635E44">
      <w:pPr>
        <w:spacing w:line="480" w:lineRule="auto"/>
        <w:rPr>
          <w:color w:val="000000" w:themeColor="text1"/>
          <w:sz w:val="28"/>
          <w:szCs w:val="28"/>
        </w:rPr>
      </w:pPr>
    </w:p>
    <w:p w14:paraId="31CA4BA0" w14:textId="77777777" w:rsidR="00A51DC4" w:rsidRDefault="00A51DC4" w:rsidP="00635E44">
      <w:pPr>
        <w:spacing w:line="480" w:lineRule="auto"/>
        <w:rPr>
          <w:color w:val="000000" w:themeColor="text1"/>
          <w:sz w:val="28"/>
          <w:szCs w:val="28"/>
        </w:rPr>
      </w:pPr>
      <w:bookmarkStart w:id="0" w:name="_GoBack"/>
      <w:bookmarkEnd w:id="0"/>
    </w:p>
    <w:sectPr w:rsidR="00A51DC4" w:rsidSect="008513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66E1" w14:textId="77777777" w:rsidR="00FD775A" w:rsidRDefault="00FD775A" w:rsidP="00C31DEB">
      <w:r>
        <w:separator/>
      </w:r>
    </w:p>
  </w:endnote>
  <w:endnote w:type="continuationSeparator" w:id="0">
    <w:p w14:paraId="550722D3" w14:textId="77777777" w:rsidR="00FD775A" w:rsidRDefault="00FD775A" w:rsidP="00C3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D3BC9" w14:textId="77777777" w:rsidR="00FD775A" w:rsidRDefault="00FD775A" w:rsidP="00C31DEB">
      <w:r>
        <w:separator/>
      </w:r>
    </w:p>
  </w:footnote>
  <w:footnote w:type="continuationSeparator" w:id="0">
    <w:p w14:paraId="713D03BD" w14:textId="77777777" w:rsidR="00FD775A" w:rsidRDefault="00FD775A" w:rsidP="00C31DEB">
      <w:r>
        <w:continuationSeparator/>
      </w:r>
    </w:p>
  </w:footnote>
  <w:footnote w:id="1">
    <w:p w14:paraId="33F67F9F" w14:textId="77777777" w:rsidR="00C31DEB" w:rsidRPr="00884BEE" w:rsidRDefault="00C31DEB" w:rsidP="00C31DEB">
      <w:pPr>
        <w:pStyle w:val="FootnoteText1"/>
        <w:rPr>
          <w:rFonts w:asciiTheme="minorHAnsi" w:eastAsia="Times New Roman" w:hAnsiTheme="minorHAnsi"/>
          <w:color w:val="auto"/>
          <w:sz w:val="28"/>
          <w:szCs w:val="28"/>
          <w:lang w:bidi="x-none"/>
        </w:rPr>
      </w:pPr>
      <w:r w:rsidRPr="00884BEE">
        <w:rPr>
          <w:rStyle w:val="FootnoteReference1"/>
          <w:rFonts w:asciiTheme="minorHAnsi" w:hAnsiTheme="minorHAnsi"/>
          <w:sz w:val="28"/>
          <w:szCs w:val="28"/>
        </w:rPr>
        <w:footnoteRef/>
      </w:r>
      <w:r w:rsidRPr="00884BEE">
        <w:rPr>
          <w:rFonts w:asciiTheme="minorHAnsi" w:hAnsiTheme="minorHAnsi"/>
          <w:sz w:val="28"/>
          <w:szCs w:val="28"/>
        </w:rPr>
        <w:t xml:space="preserve"> </w:t>
      </w:r>
      <w:proofErr w:type="spellStart"/>
      <w:r w:rsidRPr="00884BEE">
        <w:rPr>
          <w:rFonts w:asciiTheme="minorHAnsi" w:hAnsiTheme="minorHAnsi"/>
          <w:sz w:val="28"/>
          <w:szCs w:val="28"/>
        </w:rPr>
        <w:t>Miroslav</w:t>
      </w:r>
      <w:proofErr w:type="spellEnd"/>
      <w:r w:rsidRPr="00884BEE">
        <w:rPr>
          <w:rFonts w:asciiTheme="minorHAnsi" w:hAnsiTheme="minorHAnsi"/>
          <w:sz w:val="28"/>
          <w:szCs w:val="28"/>
        </w:rPr>
        <w:t xml:space="preserve"> </w:t>
      </w:r>
      <w:proofErr w:type="spellStart"/>
      <w:r w:rsidRPr="00884BEE">
        <w:rPr>
          <w:rFonts w:asciiTheme="minorHAnsi" w:hAnsiTheme="minorHAnsi"/>
          <w:sz w:val="28"/>
          <w:szCs w:val="28"/>
        </w:rPr>
        <w:t>Volf</w:t>
      </w:r>
      <w:proofErr w:type="spellEnd"/>
      <w:r w:rsidRPr="00884BEE">
        <w:rPr>
          <w:rFonts w:asciiTheme="minorHAnsi" w:hAnsiTheme="minorHAnsi"/>
          <w:sz w:val="28"/>
          <w:szCs w:val="28"/>
        </w:rPr>
        <w:t xml:space="preserve">, </w:t>
      </w:r>
      <w:r w:rsidRPr="00FB6C37">
        <w:rPr>
          <w:rFonts w:asciiTheme="minorHAnsi" w:hAnsiTheme="minorHAnsi"/>
          <w:i/>
          <w:sz w:val="28"/>
          <w:szCs w:val="28"/>
        </w:rPr>
        <w:t>Exclusion &amp; Embrace</w:t>
      </w:r>
      <w:r w:rsidRPr="00884BEE">
        <w:rPr>
          <w:rFonts w:asciiTheme="minorHAnsi" w:hAnsiTheme="minorHAnsi"/>
          <w:sz w:val="28"/>
          <w:szCs w:val="28"/>
        </w:rPr>
        <w:t xml:space="preserve"> (Nashville, TN: Abingdon Press, 1996), 78.</w:t>
      </w:r>
    </w:p>
  </w:footnote>
  <w:footnote w:id="2">
    <w:p w14:paraId="128ACAAF" w14:textId="25B88378" w:rsidR="00C31DEB" w:rsidRPr="00884BEE" w:rsidRDefault="00C31DEB" w:rsidP="00C31DEB">
      <w:pPr>
        <w:pStyle w:val="FootnoteText1"/>
        <w:rPr>
          <w:rFonts w:asciiTheme="minorHAnsi" w:eastAsia="Times New Roman" w:hAnsiTheme="minorHAnsi"/>
          <w:color w:val="auto"/>
          <w:sz w:val="28"/>
          <w:szCs w:val="28"/>
          <w:lang w:bidi="x-none"/>
        </w:rPr>
      </w:pPr>
      <w:r w:rsidRPr="00884BEE">
        <w:rPr>
          <w:rStyle w:val="FootnoteReference1"/>
          <w:rFonts w:asciiTheme="minorHAnsi" w:hAnsiTheme="minorHAnsi"/>
          <w:sz w:val="28"/>
          <w:szCs w:val="28"/>
        </w:rPr>
        <w:footnoteRef/>
      </w:r>
      <w:r w:rsidRPr="00884BEE">
        <w:rPr>
          <w:rFonts w:asciiTheme="minorHAnsi" w:hAnsiTheme="minorHAnsi"/>
          <w:sz w:val="28"/>
          <w:szCs w:val="28"/>
        </w:rPr>
        <w:t xml:space="preserve"> </w:t>
      </w:r>
      <w:proofErr w:type="spellStart"/>
      <w:r w:rsidR="00CC5095" w:rsidRPr="00884BEE">
        <w:rPr>
          <w:rFonts w:asciiTheme="minorHAnsi" w:hAnsiTheme="minorHAnsi"/>
          <w:sz w:val="28"/>
          <w:szCs w:val="28"/>
        </w:rPr>
        <w:t>Miroslav</w:t>
      </w:r>
      <w:proofErr w:type="spellEnd"/>
      <w:r w:rsidR="00CC5095" w:rsidRPr="00884BEE">
        <w:rPr>
          <w:rFonts w:asciiTheme="minorHAnsi" w:hAnsiTheme="minorHAnsi"/>
          <w:sz w:val="28"/>
          <w:szCs w:val="28"/>
        </w:rPr>
        <w:t xml:space="preserve"> </w:t>
      </w:r>
      <w:proofErr w:type="spellStart"/>
      <w:r w:rsidR="00CC5095" w:rsidRPr="00884BEE">
        <w:rPr>
          <w:rFonts w:asciiTheme="minorHAnsi" w:hAnsiTheme="minorHAnsi"/>
          <w:sz w:val="28"/>
          <w:szCs w:val="28"/>
        </w:rPr>
        <w:t>Volf</w:t>
      </w:r>
      <w:proofErr w:type="spellEnd"/>
      <w:r w:rsidR="00CC5095" w:rsidRPr="00884BEE">
        <w:rPr>
          <w:rFonts w:asciiTheme="minorHAnsi" w:hAnsiTheme="minorHAnsi"/>
          <w:sz w:val="28"/>
          <w:szCs w:val="28"/>
        </w:rPr>
        <w:t xml:space="preserve">, </w:t>
      </w:r>
      <w:r w:rsidR="00CC5095" w:rsidRPr="00FB6C37">
        <w:rPr>
          <w:rFonts w:asciiTheme="minorHAnsi" w:hAnsiTheme="minorHAnsi"/>
          <w:i/>
          <w:sz w:val="28"/>
          <w:szCs w:val="28"/>
        </w:rPr>
        <w:t>Exclusion &amp; Embrace</w:t>
      </w:r>
      <w:r w:rsidR="00CC5095" w:rsidRPr="00884BEE">
        <w:rPr>
          <w:rFonts w:asciiTheme="minorHAnsi" w:hAnsiTheme="minorHAnsi"/>
          <w:sz w:val="28"/>
          <w:szCs w:val="28"/>
        </w:rPr>
        <w:t xml:space="preserve"> (Nashville</w:t>
      </w:r>
      <w:r w:rsidR="00CC5095">
        <w:rPr>
          <w:rFonts w:asciiTheme="minorHAnsi" w:hAnsiTheme="minorHAnsi"/>
          <w:sz w:val="28"/>
          <w:szCs w:val="28"/>
        </w:rPr>
        <w:t>, TN: Abingdon Press, 1996)</w:t>
      </w:r>
      <w:proofErr w:type="gramStart"/>
      <w:r w:rsidR="00CC5095">
        <w:rPr>
          <w:rFonts w:asciiTheme="minorHAnsi" w:hAnsiTheme="minorHAnsi"/>
          <w:sz w:val="28"/>
          <w:szCs w:val="28"/>
        </w:rPr>
        <w:t>,</w:t>
      </w:r>
      <w:r w:rsidRPr="00884BEE">
        <w:rPr>
          <w:rFonts w:asciiTheme="minorHAnsi" w:hAnsiTheme="minorHAnsi"/>
          <w:sz w:val="28"/>
          <w:szCs w:val="28"/>
        </w:rPr>
        <w:t>129</w:t>
      </w:r>
      <w:proofErr w:type="gramEnd"/>
      <w:r w:rsidRPr="00884BEE">
        <w:rPr>
          <w:rFonts w:asciiTheme="minorHAnsi" w:hAnsiTheme="minorHAnsi"/>
          <w:sz w:val="28"/>
          <w:szCs w:val="28"/>
        </w:rPr>
        <w:t>.</w:t>
      </w:r>
    </w:p>
  </w:footnote>
  <w:footnote w:id="3">
    <w:p w14:paraId="718E5FD5" w14:textId="77777777" w:rsidR="00C31DEB" w:rsidRPr="00884BEE" w:rsidRDefault="00C31DEB" w:rsidP="00C31DEB">
      <w:pPr>
        <w:rPr>
          <w:rFonts w:eastAsia="Times New Roman"/>
          <w:sz w:val="28"/>
          <w:szCs w:val="28"/>
          <w:lang w:bidi="x-none"/>
        </w:rPr>
      </w:pPr>
      <w:r w:rsidRPr="00884BEE">
        <w:rPr>
          <w:rStyle w:val="FootnoteReference1"/>
          <w:sz w:val="28"/>
          <w:szCs w:val="28"/>
        </w:rPr>
        <w:footnoteRef/>
      </w:r>
      <w:r w:rsidRPr="00884BEE">
        <w:rPr>
          <w:sz w:val="28"/>
          <w:szCs w:val="28"/>
        </w:rPr>
        <w:t xml:space="preserve"> David W. </w:t>
      </w:r>
      <w:proofErr w:type="spellStart"/>
      <w:r w:rsidRPr="00884BEE">
        <w:rPr>
          <w:sz w:val="28"/>
          <w:szCs w:val="28"/>
        </w:rPr>
        <w:t>Pao</w:t>
      </w:r>
      <w:proofErr w:type="spellEnd"/>
      <w:r w:rsidRPr="00884BEE">
        <w:rPr>
          <w:sz w:val="28"/>
          <w:szCs w:val="28"/>
        </w:rPr>
        <w:t>, “</w:t>
      </w:r>
      <w:r w:rsidRPr="00884BEE">
        <w:rPr>
          <w:color w:val="101010"/>
          <w:sz w:val="28"/>
          <w:szCs w:val="28"/>
        </w:rPr>
        <w:t>Waiters or Preachers: Acts 6:1-7 and the </w:t>
      </w:r>
      <w:proofErr w:type="spellStart"/>
      <w:r w:rsidRPr="00884BEE">
        <w:rPr>
          <w:color w:val="101010"/>
          <w:sz w:val="28"/>
          <w:szCs w:val="28"/>
        </w:rPr>
        <w:t>Lukan</w:t>
      </w:r>
      <w:proofErr w:type="spellEnd"/>
      <w:r w:rsidRPr="00884BEE">
        <w:rPr>
          <w:color w:val="101010"/>
          <w:sz w:val="28"/>
          <w:szCs w:val="28"/>
        </w:rPr>
        <w:t> Table Fellowship Motif</w:t>
      </w:r>
      <w:r w:rsidRPr="00884BEE">
        <w:rPr>
          <w:color w:val="F60010"/>
          <w:sz w:val="28"/>
          <w:szCs w:val="28"/>
        </w:rPr>
        <w:t>,</w:t>
      </w:r>
      <w:r w:rsidRPr="00884BEE">
        <w:rPr>
          <w:color w:val="101010"/>
          <w:sz w:val="28"/>
          <w:szCs w:val="28"/>
        </w:rPr>
        <w:t xml:space="preserve">” </w:t>
      </w:r>
      <w:r w:rsidRPr="00884BEE">
        <w:rPr>
          <w:sz w:val="28"/>
          <w:szCs w:val="28"/>
        </w:rPr>
        <w:t xml:space="preserve">Journal of Biblical Literature. </w:t>
      </w:r>
      <w:r w:rsidRPr="00884BEE">
        <w:rPr>
          <w:color w:val="101010"/>
          <w:sz w:val="28"/>
          <w:szCs w:val="28"/>
          <w:shd w:val="clear" w:color="auto" w:fill="FFFFFF"/>
        </w:rPr>
        <w:t>April 2011. 130 (1), 127-144.</w:t>
      </w:r>
    </w:p>
  </w:footnote>
  <w:footnote w:id="4">
    <w:p w14:paraId="7DFF5A6C" w14:textId="77777777" w:rsidR="00C31DEB" w:rsidRPr="00884BEE" w:rsidRDefault="00C31DEB" w:rsidP="00C31DEB">
      <w:pPr>
        <w:pStyle w:val="FootnoteText1"/>
        <w:rPr>
          <w:rFonts w:asciiTheme="minorHAnsi" w:eastAsia="Times New Roman" w:hAnsiTheme="minorHAnsi"/>
          <w:color w:val="auto"/>
          <w:sz w:val="28"/>
          <w:szCs w:val="28"/>
          <w:lang w:bidi="x-none"/>
        </w:rPr>
      </w:pPr>
      <w:r w:rsidRPr="00884BEE">
        <w:rPr>
          <w:rStyle w:val="FootnoteReference1"/>
          <w:rFonts w:asciiTheme="minorHAnsi" w:hAnsiTheme="minorHAnsi"/>
          <w:sz w:val="28"/>
          <w:szCs w:val="28"/>
        </w:rPr>
        <w:footnoteRef/>
      </w:r>
      <w:r w:rsidRPr="00884BEE">
        <w:rPr>
          <w:rFonts w:asciiTheme="minorHAnsi" w:hAnsiTheme="minorHAnsi"/>
          <w:sz w:val="28"/>
          <w:szCs w:val="28"/>
        </w:rPr>
        <w:t xml:space="preserve"> Ibid.</w:t>
      </w:r>
    </w:p>
  </w:footnote>
  <w:footnote w:id="5">
    <w:p w14:paraId="019F20F8" w14:textId="77777777" w:rsidR="00DB0F80" w:rsidRDefault="00DB0F80" w:rsidP="00DB0F80">
      <w:pPr>
        <w:pStyle w:val="FootnoteText1"/>
        <w:rPr>
          <w:rFonts w:ascii="Times New Roman" w:eastAsia="Times New Roman" w:hAnsi="Times New Roman"/>
          <w:color w:val="auto"/>
          <w:sz w:val="20"/>
          <w:lang w:bidi="x-none"/>
        </w:rPr>
      </w:pPr>
      <w:r>
        <w:rPr>
          <w:rStyle w:val="FootnoteReference1"/>
          <w:rFonts w:ascii="Times New Roman" w:hAnsi="Times New Roman"/>
        </w:rPr>
        <w:footnoteRef/>
      </w:r>
      <w:r>
        <w:rPr>
          <w:rFonts w:ascii="Times New Roman" w:hAnsi="Times New Roman"/>
        </w:rPr>
        <w:t xml:space="preserve"> </w:t>
      </w:r>
      <w:proofErr w:type="spellStart"/>
      <w:r w:rsidRPr="00FB6C37">
        <w:rPr>
          <w:rFonts w:asciiTheme="minorHAnsi" w:hAnsiTheme="minorHAnsi" w:cstheme="minorHAnsi"/>
          <w:sz w:val="28"/>
          <w:szCs w:val="28"/>
        </w:rPr>
        <w:t>Evagrius</w:t>
      </w:r>
      <w:proofErr w:type="spellEnd"/>
      <w:r w:rsidRPr="00FB6C37">
        <w:rPr>
          <w:rFonts w:asciiTheme="minorHAnsi" w:hAnsiTheme="minorHAnsi" w:cstheme="minorHAnsi"/>
          <w:sz w:val="28"/>
          <w:szCs w:val="28"/>
        </w:rPr>
        <w:t xml:space="preserve"> </w:t>
      </w:r>
      <w:proofErr w:type="spellStart"/>
      <w:r w:rsidRPr="00FB6C37">
        <w:rPr>
          <w:rFonts w:asciiTheme="minorHAnsi" w:hAnsiTheme="minorHAnsi" w:cstheme="minorHAnsi"/>
          <w:sz w:val="28"/>
          <w:szCs w:val="28"/>
        </w:rPr>
        <w:t>Ponticus</w:t>
      </w:r>
      <w:proofErr w:type="spellEnd"/>
      <w:r w:rsidRPr="00FB6C37">
        <w:rPr>
          <w:rFonts w:asciiTheme="minorHAnsi" w:hAnsiTheme="minorHAnsi" w:cstheme="minorHAnsi"/>
          <w:sz w:val="28"/>
          <w:szCs w:val="28"/>
        </w:rPr>
        <w:t xml:space="preserve">, </w:t>
      </w:r>
      <w:r w:rsidRPr="00FB6C37">
        <w:rPr>
          <w:rFonts w:asciiTheme="minorHAnsi" w:hAnsiTheme="minorHAnsi" w:cstheme="minorHAnsi"/>
          <w:i/>
          <w:sz w:val="28"/>
          <w:szCs w:val="28"/>
          <w:shd w:val="clear" w:color="auto" w:fill="FFFFFF"/>
        </w:rPr>
        <w:t xml:space="preserve">The </w:t>
      </w:r>
      <w:proofErr w:type="spellStart"/>
      <w:r w:rsidRPr="00FB6C37">
        <w:rPr>
          <w:rFonts w:asciiTheme="minorHAnsi" w:hAnsiTheme="minorHAnsi" w:cstheme="minorHAnsi"/>
          <w:i/>
          <w:sz w:val="28"/>
          <w:szCs w:val="28"/>
          <w:shd w:val="clear" w:color="auto" w:fill="FFFFFF"/>
        </w:rPr>
        <w:t>Praktikos</w:t>
      </w:r>
      <w:proofErr w:type="spellEnd"/>
      <w:r w:rsidRPr="00FB6C37">
        <w:rPr>
          <w:rFonts w:asciiTheme="minorHAnsi" w:hAnsiTheme="minorHAnsi" w:cstheme="minorHAnsi"/>
          <w:i/>
          <w:sz w:val="28"/>
          <w:szCs w:val="28"/>
          <w:shd w:val="clear" w:color="auto" w:fill="FFFFFF"/>
        </w:rPr>
        <w:t xml:space="preserve"> and Chapters on Prayer</w:t>
      </w:r>
      <w:r w:rsidRPr="00FB6C37">
        <w:rPr>
          <w:rFonts w:asciiTheme="minorHAnsi" w:hAnsiTheme="minorHAnsi" w:cstheme="minorHAnsi"/>
          <w:sz w:val="28"/>
          <w:szCs w:val="28"/>
          <w:shd w:val="clear" w:color="auto" w:fill="FFFFFF"/>
        </w:rPr>
        <w:t xml:space="preserve"> (Trappist, KY: Cistercian Publications, 1972), 17.</w:t>
      </w:r>
    </w:p>
  </w:footnote>
  <w:footnote w:id="6">
    <w:p w14:paraId="50C071CE" w14:textId="48882DDD" w:rsidR="00DB0F80" w:rsidRPr="00FB6C37" w:rsidRDefault="00DB0F80" w:rsidP="00DB0F80">
      <w:pPr>
        <w:pStyle w:val="FootnoteText1"/>
        <w:rPr>
          <w:rFonts w:asciiTheme="minorHAnsi" w:eastAsia="Times New Roman" w:hAnsiTheme="minorHAnsi" w:cstheme="minorHAnsi"/>
          <w:color w:val="auto"/>
          <w:sz w:val="28"/>
          <w:szCs w:val="28"/>
          <w:lang w:bidi="x-none"/>
        </w:rPr>
      </w:pPr>
      <w:r>
        <w:rPr>
          <w:rStyle w:val="FootnoteReference1"/>
        </w:rPr>
        <w:footnoteRef/>
      </w:r>
      <w:r>
        <w:t xml:space="preserve"> </w:t>
      </w:r>
      <w:r w:rsidR="0089031F" w:rsidRPr="00FB6C37">
        <w:rPr>
          <w:rFonts w:asciiTheme="minorHAnsi" w:hAnsiTheme="minorHAnsi" w:cstheme="minorHAnsi"/>
          <w:sz w:val="28"/>
          <w:szCs w:val="28"/>
        </w:rPr>
        <w:t>J</w:t>
      </w:r>
      <w:r w:rsidR="00AC25FC" w:rsidRPr="00FB6C37">
        <w:rPr>
          <w:rFonts w:asciiTheme="minorHAnsi" w:hAnsiTheme="minorHAnsi" w:cstheme="minorHAnsi"/>
          <w:sz w:val="28"/>
          <w:szCs w:val="28"/>
        </w:rPr>
        <w:t>ames M. Bowler, “Shame: A Primary Root of Resistance to Movement in Direction” Presence: The Journal of Spiritual Directors International. September 1997. 3 (3): 26.</w:t>
      </w:r>
    </w:p>
  </w:footnote>
  <w:footnote w:id="7">
    <w:p w14:paraId="01DAD005" w14:textId="77777777" w:rsidR="00DB0F80" w:rsidRPr="00FB6C37" w:rsidRDefault="00DB0F80" w:rsidP="00DB0F80">
      <w:pPr>
        <w:pStyle w:val="FootnoteText1"/>
        <w:rPr>
          <w:rFonts w:asciiTheme="minorHAnsi" w:eastAsia="Times New Roman" w:hAnsiTheme="minorHAnsi" w:cstheme="minorHAnsi"/>
          <w:color w:val="auto"/>
          <w:sz w:val="28"/>
          <w:szCs w:val="28"/>
          <w:lang w:bidi="x-none"/>
        </w:rPr>
      </w:pPr>
      <w:r w:rsidRPr="00FB6C37">
        <w:rPr>
          <w:rStyle w:val="FootnoteReference1"/>
          <w:rFonts w:asciiTheme="minorHAnsi" w:hAnsiTheme="minorHAnsi" w:cstheme="minorHAnsi"/>
          <w:sz w:val="28"/>
          <w:szCs w:val="28"/>
        </w:rPr>
        <w:footnoteRef/>
      </w:r>
      <w:r w:rsidRPr="00FB6C37">
        <w:rPr>
          <w:rFonts w:asciiTheme="minorHAnsi" w:hAnsiTheme="minorHAnsi" w:cstheme="minorHAnsi"/>
          <w:sz w:val="28"/>
          <w:szCs w:val="28"/>
        </w:rPr>
        <w:t xml:space="preserve"> Fr. Gregory Boyle’s talk, January 20, 2012, West LA United Methodist Church</w:t>
      </w:r>
    </w:p>
  </w:footnote>
  <w:footnote w:id="8">
    <w:p w14:paraId="426B0923" w14:textId="77777777" w:rsidR="00DB0F80" w:rsidRDefault="00DB0F80" w:rsidP="00DB0F80">
      <w:pPr>
        <w:pStyle w:val="FootnoteText1"/>
        <w:rPr>
          <w:rFonts w:ascii="Times New Roman" w:eastAsia="Times New Roman" w:hAnsi="Times New Roman"/>
          <w:color w:val="auto"/>
          <w:sz w:val="20"/>
          <w:lang w:bidi="x-none"/>
        </w:rPr>
      </w:pPr>
      <w:r w:rsidRPr="00FB6C37">
        <w:rPr>
          <w:rStyle w:val="FootnoteReference1"/>
          <w:rFonts w:asciiTheme="minorHAnsi" w:hAnsiTheme="minorHAnsi" w:cstheme="minorHAnsi"/>
          <w:sz w:val="28"/>
          <w:szCs w:val="28"/>
        </w:rPr>
        <w:footnoteRef/>
      </w:r>
      <w:r w:rsidRPr="00FB6C37">
        <w:rPr>
          <w:rFonts w:asciiTheme="minorHAnsi" w:hAnsiTheme="minorHAnsi" w:cstheme="minorHAnsi"/>
          <w:sz w:val="28"/>
          <w:szCs w:val="28"/>
        </w:rPr>
        <w:t xml:space="preserve"> </w:t>
      </w:r>
      <w:r w:rsidRPr="00FB6C37">
        <w:rPr>
          <w:rFonts w:asciiTheme="minorHAnsi" w:hAnsiTheme="minorHAnsi" w:cstheme="minorHAnsi"/>
          <w:i/>
          <w:sz w:val="28"/>
          <w:szCs w:val="28"/>
        </w:rPr>
        <w:t>Meister Eckhart: Selected Writings</w:t>
      </w:r>
      <w:r w:rsidRPr="00FB6C37">
        <w:rPr>
          <w:rFonts w:asciiTheme="minorHAnsi" w:hAnsiTheme="minorHAnsi" w:cstheme="minorHAnsi"/>
          <w:sz w:val="28"/>
          <w:szCs w:val="28"/>
        </w:rPr>
        <w:t>, trans. Oliver Davies, (New York, NY</w:t>
      </w:r>
      <w:proofErr w:type="gramStart"/>
      <w:r w:rsidRPr="00FB6C37">
        <w:rPr>
          <w:rFonts w:asciiTheme="minorHAnsi" w:hAnsiTheme="minorHAnsi" w:cstheme="minorHAnsi"/>
          <w:sz w:val="28"/>
          <w:szCs w:val="28"/>
        </w:rPr>
        <w:t>:Penguin</w:t>
      </w:r>
      <w:proofErr w:type="gramEnd"/>
      <w:r w:rsidRPr="00FB6C37">
        <w:rPr>
          <w:rFonts w:asciiTheme="minorHAnsi" w:hAnsiTheme="minorHAnsi" w:cstheme="minorHAnsi"/>
          <w:sz w:val="28"/>
          <w:szCs w:val="28"/>
        </w:rPr>
        <w:t xml:space="preserve"> Classics, 1994), 26.</w:t>
      </w:r>
      <w:r>
        <w:rPr>
          <w:rFonts w:ascii="Times New Roman Italic" w:hAnsi="Times New Roman Italic"/>
          <w:color w:val="F60010"/>
        </w:rPr>
        <w:t xml:space="preserve"> </w:t>
      </w:r>
    </w:p>
  </w:footnote>
  <w:footnote w:id="9">
    <w:p w14:paraId="1F4A5BD6" w14:textId="41FE514E" w:rsidR="00DB0F80" w:rsidRPr="00FB6C37" w:rsidRDefault="00DB0F80" w:rsidP="00DB0F80">
      <w:pPr>
        <w:pStyle w:val="FootnoteText1"/>
        <w:rPr>
          <w:rFonts w:asciiTheme="minorHAnsi" w:eastAsia="Times New Roman" w:hAnsiTheme="minorHAnsi" w:cstheme="minorHAnsi"/>
          <w:color w:val="auto"/>
          <w:sz w:val="28"/>
          <w:szCs w:val="28"/>
          <w:lang w:bidi="x-none"/>
        </w:rPr>
      </w:pPr>
      <w:r w:rsidRPr="00FB6C37">
        <w:rPr>
          <w:rStyle w:val="FootnoteReference1"/>
          <w:rFonts w:asciiTheme="minorHAnsi" w:hAnsiTheme="minorHAnsi" w:cstheme="minorHAnsi"/>
          <w:sz w:val="28"/>
          <w:szCs w:val="28"/>
        </w:rPr>
        <w:footnoteRef/>
      </w:r>
      <w:r w:rsidRPr="00FB6C37">
        <w:rPr>
          <w:rFonts w:asciiTheme="minorHAnsi" w:hAnsiTheme="minorHAnsi" w:cstheme="minorHAnsi"/>
          <w:sz w:val="28"/>
          <w:szCs w:val="28"/>
        </w:rPr>
        <w:t xml:space="preserve"> </w:t>
      </w:r>
      <w:r w:rsidR="00AC25FC" w:rsidRPr="00FB6C37">
        <w:rPr>
          <w:rFonts w:asciiTheme="minorHAnsi" w:hAnsiTheme="minorHAnsi" w:cstheme="minorHAnsi"/>
          <w:sz w:val="28"/>
          <w:szCs w:val="28"/>
        </w:rPr>
        <w:t xml:space="preserve">Christine Pohl, </w:t>
      </w:r>
      <w:r w:rsidR="00AC25FC" w:rsidRPr="00FB6C37">
        <w:rPr>
          <w:rFonts w:asciiTheme="minorHAnsi" w:hAnsiTheme="minorHAnsi" w:cstheme="minorHAnsi"/>
          <w:i/>
          <w:sz w:val="28"/>
          <w:szCs w:val="28"/>
        </w:rPr>
        <w:t>Making Room: Recovering Hospitality as a Christian Tradition</w:t>
      </w:r>
      <w:r w:rsidR="00AC25FC" w:rsidRPr="00FB6C37">
        <w:rPr>
          <w:rFonts w:asciiTheme="minorHAnsi" w:hAnsiTheme="minorHAnsi" w:cstheme="minorHAnsi"/>
          <w:sz w:val="28"/>
          <w:szCs w:val="28"/>
        </w:rPr>
        <w:t xml:space="preserve"> (Grand Rapids, MI, Wm. B Eerdmans Publishing Co., 1999), 119.</w:t>
      </w:r>
    </w:p>
  </w:footnote>
  <w:footnote w:id="10">
    <w:p w14:paraId="17C3A17F" w14:textId="4717377D" w:rsidR="00A51DC4" w:rsidRPr="00A51DC4" w:rsidRDefault="00884BEE" w:rsidP="00884BEE">
      <w:pPr>
        <w:pStyle w:val="FootnoteText1"/>
        <w:rPr>
          <w:rFonts w:asciiTheme="minorHAnsi" w:hAnsiTheme="minorHAnsi" w:cstheme="minorHAnsi"/>
          <w:sz w:val="28"/>
          <w:szCs w:val="28"/>
        </w:rPr>
      </w:pPr>
      <w:r w:rsidRPr="00FB6C37">
        <w:rPr>
          <w:rStyle w:val="FootnoteReference1"/>
          <w:rFonts w:asciiTheme="minorHAnsi" w:hAnsiTheme="minorHAnsi" w:cstheme="minorHAnsi"/>
          <w:sz w:val="28"/>
          <w:szCs w:val="28"/>
        </w:rPr>
        <w:footnoteRef/>
      </w:r>
      <w:r w:rsidRPr="00FB6C37">
        <w:rPr>
          <w:rFonts w:asciiTheme="minorHAnsi" w:hAnsiTheme="minorHAnsi" w:cstheme="minorHAnsi"/>
          <w:sz w:val="28"/>
          <w:szCs w:val="28"/>
        </w:rPr>
        <w:t xml:space="preserve"> Ezek. 36:26.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138F" w14:textId="147F3115" w:rsidR="00E272DB" w:rsidRPr="00E272DB" w:rsidRDefault="00E272DB">
    <w:pPr>
      <w:pStyle w:val="Header"/>
      <w:rPr>
        <w:sz w:val="28"/>
        <w:szCs w:val="28"/>
      </w:rPr>
    </w:pPr>
    <w:r w:rsidRPr="00E272DB">
      <w:rPr>
        <w:i/>
        <w:sz w:val="28"/>
        <w:szCs w:val="28"/>
      </w:rPr>
      <w:t>"And he was made known in the breaking of the bread...”</w:t>
    </w:r>
    <w:r w:rsidRPr="00E272DB">
      <w:rPr>
        <w:sz w:val="28"/>
        <w:szCs w:val="28"/>
      </w:rPr>
      <w:t xml:space="preserve"> by Michele </w:t>
    </w:r>
    <w:proofErr w:type="spellStart"/>
    <w:r w:rsidRPr="00E272DB">
      <w:rPr>
        <w:sz w:val="28"/>
        <w:szCs w:val="28"/>
      </w:rPr>
      <w:t>Volz</w:t>
    </w:r>
    <w:proofErr w:type="spellEnd"/>
  </w:p>
  <w:p w14:paraId="0D4A6D02" w14:textId="77777777" w:rsidR="00E272DB" w:rsidRDefault="00E27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B"/>
    <w:rsid w:val="00055213"/>
    <w:rsid w:val="00112E39"/>
    <w:rsid w:val="001439D2"/>
    <w:rsid w:val="001E42ED"/>
    <w:rsid w:val="00390370"/>
    <w:rsid w:val="004C4A4E"/>
    <w:rsid w:val="004E2C84"/>
    <w:rsid w:val="004F7765"/>
    <w:rsid w:val="00554EEE"/>
    <w:rsid w:val="00567E46"/>
    <w:rsid w:val="0059558D"/>
    <w:rsid w:val="0063146B"/>
    <w:rsid w:val="00635E44"/>
    <w:rsid w:val="00834A61"/>
    <w:rsid w:val="00851362"/>
    <w:rsid w:val="00865CC7"/>
    <w:rsid w:val="00884BEE"/>
    <w:rsid w:val="0089031F"/>
    <w:rsid w:val="00902677"/>
    <w:rsid w:val="00A51DC4"/>
    <w:rsid w:val="00AC25FC"/>
    <w:rsid w:val="00AF342A"/>
    <w:rsid w:val="00AF6F01"/>
    <w:rsid w:val="00B377B3"/>
    <w:rsid w:val="00C31DEB"/>
    <w:rsid w:val="00C77EE6"/>
    <w:rsid w:val="00CC5095"/>
    <w:rsid w:val="00D32F0A"/>
    <w:rsid w:val="00D87F26"/>
    <w:rsid w:val="00D94FFB"/>
    <w:rsid w:val="00DB0F80"/>
    <w:rsid w:val="00E272DB"/>
    <w:rsid w:val="00E66E5B"/>
    <w:rsid w:val="00F076F7"/>
    <w:rsid w:val="00FB6C37"/>
    <w:rsid w:val="00FD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EC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C31DEB"/>
    <w:rPr>
      <w:color w:val="000000"/>
      <w:sz w:val="24"/>
      <w:vertAlign w:val="superscript"/>
    </w:rPr>
  </w:style>
  <w:style w:type="paragraph" w:customStyle="1" w:styleId="FootnoteText1">
    <w:name w:val="Footnote Text1"/>
    <w:rsid w:val="00C31DEB"/>
    <w:rPr>
      <w:rFonts w:ascii="Lucida Grande" w:eastAsia="ヒラギノ角ゴ Pro W3" w:hAnsi="Lucida Grande" w:cs="Times New Roman"/>
      <w:color w:val="000000"/>
      <w:szCs w:val="20"/>
    </w:rPr>
  </w:style>
  <w:style w:type="character" w:styleId="CommentReference">
    <w:name w:val="annotation reference"/>
    <w:basedOn w:val="DefaultParagraphFont"/>
    <w:uiPriority w:val="99"/>
    <w:semiHidden/>
    <w:unhideWhenUsed/>
    <w:rsid w:val="004F7765"/>
    <w:rPr>
      <w:sz w:val="16"/>
      <w:szCs w:val="16"/>
    </w:rPr>
  </w:style>
  <w:style w:type="paragraph" w:styleId="CommentText">
    <w:name w:val="annotation text"/>
    <w:basedOn w:val="Normal"/>
    <w:link w:val="CommentTextChar"/>
    <w:uiPriority w:val="99"/>
    <w:semiHidden/>
    <w:unhideWhenUsed/>
    <w:rsid w:val="004F7765"/>
    <w:rPr>
      <w:sz w:val="20"/>
      <w:szCs w:val="20"/>
    </w:rPr>
  </w:style>
  <w:style w:type="character" w:customStyle="1" w:styleId="CommentTextChar">
    <w:name w:val="Comment Text Char"/>
    <w:basedOn w:val="DefaultParagraphFont"/>
    <w:link w:val="CommentText"/>
    <w:uiPriority w:val="99"/>
    <w:semiHidden/>
    <w:rsid w:val="004F7765"/>
    <w:rPr>
      <w:sz w:val="20"/>
      <w:szCs w:val="20"/>
    </w:rPr>
  </w:style>
  <w:style w:type="paragraph" w:styleId="CommentSubject">
    <w:name w:val="annotation subject"/>
    <w:basedOn w:val="CommentText"/>
    <w:next w:val="CommentText"/>
    <w:link w:val="CommentSubjectChar"/>
    <w:uiPriority w:val="99"/>
    <w:semiHidden/>
    <w:unhideWhenUsed/>
    <w:rsid w:val="004F7765"/>
    <w:rPr>
      <w:b/>
      <w:bCs/>
    </w:rPr>
  </w:style>
  <w:style w:type="character" w:customStyle="1" w:styleId="CommentSubjectChar">
    <w:name w:val="Comment Subject Char"/>
    <w:basedOn w:val="CommentTextChar"/>
    <w:link w:val="CommentSubject"/>
    <w:uiPriority w:val="99"/>
    <w:semiHidden/>
    <w:rsid w:val="004F7765"/>
    <w:rPr>
      <w:b/>
      <w:bCs/>
      <w:sz w:val="20"/>
      <w:szCs w:val="20"/>
    </w:rPr>
  </w:style>
  <w:style w:type="paragraph" w:styleId="BalloonText">
    <w:name w:val="Balloon Text"/>
    <w:basedOn w:val="Normal"/>
    <w:link w:val="BalloonTextChar"/>
    <w:uiPriority w:val="99"/>
    <w:semiHidden/>
    <w:unhideWhenUsed/>
    <w:rsid w:val="004F7765"/>
    <w:rPr>
      <w:rFonts w:ascii="Tahoma" w:hAnsi="Tahoma" w:cs="Tahoma"/>
      <w:sz w:val="16"/>
      <w:szCs w:val="16"/>
    </w:rPr>
  </w:style>
  <w:style w:type="character" w:customStyle="1" w:styleId="BalloonTextChar">
    <w:name w:val="Balloon Text Char"/>
    <w:basedOn w:val="DefaultParagraphFont"/>
    <w:link w:val="BalloonText"/>
    <w:uiPriority w:val="99"/>
    <w:semiHidden/>
    <w:rsid w:val="004F7765"/>
    <w:rPr>
      <w:rFonts w:ascii="Tahoma" w:hAnsi="Tahoma" w:cs="Tahoma"/>
      <w:sz w:val="16"/>
      <w:szCs w:val="16"/>
    </w:rPr>
  </w:style>
  <w:style w:type="paragraph" w:styleId="Header">
    <w:name w:val="header"/>
    <w:basedOn w:val="Normal"/>
    <w:link w:val="HeaderChar"/>
    <w:uiPriority w:val="99"/>
    <w:unhideWhenUsed/>
    <w:rsid w:val="00E272DB"/>
    <w:pPr>
      <w:tabs>
        <w:tab w:val="center" w:pos="4680"/>
        <w:tab w:val="right" w:pos="9360"/>
      </w:tabs>
    </w:pPr>
  </w:style>
  <w:style w:type="character" w:customStyle="1" w:styleId="HeaderChar">
    <w:name w:val="Header Char"/>
    <w:basedOn w:val="DefaultParagraphFont"/>
    <w:link w:val="Header"/>
    <w:uiPriority w:val="99"/>
    <w:rsid w:val="00E272DB"/>
  </w:style>
  <w:style w:type="paragraph" w:styleId="Footer">
    <w:name w:val="footer"/>
    <w:basedOn w:val="Normal"/>
    <w:link w:val="FooterChar"/>
    <w:uiPriority w:val="99"/>
    <w:unhideWhenUsed/>
    <w:rsid w:val="00E272DB"/>
    <w:pPr>
      <w:tabs>
        <w:tab w:val="center" w:pos="4680"/>
        <w:tab w:val="right" w:pos="9360"/>
      </w:tabs>
    </w:pPr>
  </w:style>
  <w:style w:type="character" w:customStyle="1" w:styleId="FooterChar">
    <w:name w:val="Footer Char"/>
    <w:basedOn w:val="DefaultParagraphFont"/>
    <w:link w:val="Footer"/>
    <w:uiPriority w:val="99"/>
    <w:rsid w:val="00E27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C31DEB"/>
    <w:rPr>
      <w:color w:val="000000"/>
      <w:sz w:val="24"/>
      <w:vertAlign w:val="superscript"/>
    </w:rPr>
  </w:style>
  <w:style w:type="paragraph" w:customStyle="1" w:styleId="FootnoteText1">
    <w:name w:val="Footnote Text1"/>
    <w:rsid w:val="00C31DEB"/>
    <w:rPr>
      <w:rFonts w:ascii="Lucida Grande" w:eastAsia="ヒラギノ角ゴ Pro W3" w:hAnsi="Lucida Grande" w:cs="Times New Roman"/>
      <w:color w:val="000000"/>
      <w:szCs w:val="20"/>
    </w:rPr>
  </w:style>
  <w:style w:type="character" w:styleId="CommentReference">
    <w:name w:val="annotation reference"/>
    <w:basedOn w:val="DefaultParagraphFont"/>
    <w:uiPriority w:val="99"/>
    <w:semiHidden/>
    <w:unhideWhenUsed/>
    <w:rsid w:val="004F7765"/>
    <w:rPr>
      <w:sz w:val="16"/>
      <w:szCs w:val="16"/>
    </w:rPr>
  </w:style>
  <w:style w:type="paragraph" w:styleId="CommentText">
    <w:name w:val="annotation text"/>
    <w:basedOn w:val="Normal"/>
    <w:link w:val="CommentTextChar"/>
    <w:uiPriority w:val="99"/>
    <w:semiHidden/>
    <w:unhideWhenUsed/>
    <w:rsid w:val="004F7765"/>
    <w:rPr>
      <w:sz w:val="20"/>
      <w:szCs w:val="20"/>
    </w:rPr>
  </w:style>
  <w:style w:type="character" w:customStyle="1" w:styleId="CommentTextChar">
    <w:name w:val="Comment Text Char"/>
    <w:basedOn w:val="DefaultParagraphFont"/>
    <w:link w:val="CommentText"/>
    <w:uiPriority w:val="99"/>
    <w:semiHidden/>
    <w:rsid w:val="004F7765"/>
    <w:rPr>
      <w:sz w:val="20"/>
      <w:szCs w:val="20"/>
    </w:rPr>
  </w:style>
  <w:style w:type="paragraph" w:styleId="CommentSubject">
    <w:name w:val="annotation subject"/>
    <w:basedOn w:val="CommentText"/>
    <w:next w:val="CommentText"/>
    <w:link w:val="CommentSubjectChar"/>
    <w:uiPriority w:val="99"/>
    <w:semiHidden/>
    <w:unhideWhenUsed/>
    <w:rsid w:val="004F7765"/>
    <w:rPr>
      <w:b/>
      <w:bCs/>
    </w:rPr>
  </w:style>
  <w:style w:type="character" w:customStyle="1" w:styleId="CommentSubjectChar">
    <w:name w:val="Comment Subject Char"/>
    <w:basedOn w:val="CommentTextChar"/>
    <w:link w:val="CommentSubject"/>
    <w:uiPriority w:val="99"/>
    <w:semiHidden/>
    <w:rsid w:val="004F7765"/>
    <w:rPr>
      <w:b/>
      <w:bCs/>
      <w:sz w:val="20"/>
      <w:szCs w:val="20"/>
    </w:rPr>
  </w:style>
  <w:style w:type="paragraph" w:styleId="BalloonText">
    <w:name w:val="Balloon Text"/>
    <w:basedOn w:val="Normal"/>
    <w:link w:val="BalloonTextChar"/>
    <w:uiPriority w:val="99"/>
    <w:semiHidden/>
    <w:unhideWhenUsed/>
    <w:rsid w:val="004F7765"/>
    <w:rPr>
      <w:rFonts w:ascii="Tahoma" w:hAnsi="Tahoma" w:cs="Tahoma"/>
      <w:sz w:val="16"/>
      <w:szCs w:val="16"/>
    </w:rPr>
  </w:style>
  <w:style w:type="character" w:customStyle="1" w:styleId="BalloonTextChar">
    <w:name w:val="Balloon Text Char"/>
    <w:basedOn w:val="DefaultParagraphFont"/>
    <w:link w:val="BalloonText"/>
    <w:uiPriority w:val="99"/>
    <w:semiHidden/>
    <w:rsid w:val="004F7765"/>
    <w:rPr>
      <w:rFonts w:ascii="Tahoma" w:hAnsi="Tahoma" w:cs="Tahoma"/>
      <w:sz w:val="16"/>
      <w:szCs w:val="16"/>
    </w:rPr>
  </w:style>
  <w:style w:type="paragraph" w:styleId="Header">
    <w:name w:val="header"/>
    <w:basedOn w:val="Normal"/>
    <w:link w:val="HeaderChar"/>
    <w:uiPriority w:val="99"/>
    <w:unhideWhenUsed/>
    <w:rsid w:val="00E272DB"/>
    <w:pPr>
      <w:tabs>
        <w:tab w:val="center" w:pos="4680"/>
        <w:tab w:val="right" w:pos="9360"/>
      </w:tabs>
    </w:pPr>
  </w:style>
  <w:style w:type="character" w:customStyle="1" w:styleId="HeaderChar">
    <w:name w:val="Header Char"/>
    <w:basedOn w:val="DefaultParagraphFont"/>
    <w:link w:val="Header"/>
    <w:uiPriority w:val="99"/>
    <w:rsid w:val="00E272DB"/>
  </w:style>
  <w:style w:type="paragraph" w:styleId="Footer">
    <w:name w:val="footer"/>
    <w:basedOn w:val="Normal"/>
    <w:link w:val="FooterChar"/>
    <w:uiPriority w:val="99"/>
    <w:unhideWhenUsed/>
    <w:rsid w:val="00E272DB"/>
    <w:pPr>
      <w:tabs>
        <w:tab w:val="center" w:pos="4680"/>
        <w:tab w:val="right" w:pos="9360"/>
      </w:tabs>
    </w:pPr>
  </w:style>
  <w:style w:type="character" w:customStyle="1" w:styleId="FooterChar">
    <w:name w:val="Footer Char"/>
    <w:basedOn w:val="DefaultParagraphFont"/>
    <w:link w:val="Footer"/>
    <w:uiPriority w:val="99"/>
    <w:rsid w:val="00E2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7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Volz</dc:creator>
  <cp:lastModifiedBy>Camacho, Raymond</cp:lastModifiedBy>
  <cp:revision>2</cp:revision>
  <dcterms:created xsi:type="dcterms:W3CDTF">2015-09-21T20:10:00Z</dcterms:created>
  <dcterms:modified xsi:type="dcterms:W3CDTF">2015-09-21T20:10:00Z</dcterms:modified>
</cp:coreProperties>
</file>